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E" w:rsidRPr="00AC026B" w:rsidRDefault="00F674B9" w:rsidP="004460B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C026B">
        <w:rPr>
          <w:rFonts w:ascii="PT Astra Serif" w:hAnsi="PT Astra Serif"/>
          <w:b/>
          <w:sz w:val="28"/>
          <w:szCs w:val="28"/>
        </w:rPr>
        <w:t xml:space="preserve">Информация </w:t>
      </w:r>
      <w:r w:rsidR="0056026C">
        <w:rPr>
          <w:rFonts w:ascii="PT Astra Serif" w:hAnsi="PT Astra Serif"/>
          <w:b/>
          <w:sz w:val="28"/>
          <w:szCs w:val="28"/>
        </w:rPr>
        <w:t>по выполнению целевых показателей</w:t>
      </w:r>
      <w:r w:rsidRPr="00AC026B">
        <w:rPr>
          <w:rFonts w:ascii="PT Astra Serif" w:hAnsi="PT Astra Serif"/>
          <w:b/>
          <w:sz w:val="28"/>
          <w:szCs w:val="28"/>
        </w:rPr>
        <w:t xml:space="preserve"> </w:t>
      </w:r>
      <w:r w:rsidR="004460B2">
        <w:rPr>
          <w:rFonts w:ascii="PT Astra Serif" w:hAnsi="PT Astra Serif"/>
          <w:b/>
          <w:sz w:val="28"/>
          <w:szCs w:val="28"/>
        </w:rPr>
        <w:t xml:space="preserve">по реализации национального проекта «Демография» </w:t>
      </w:r>
      <w:r w:rsidRPr="00AC026B">
        <w:rPr>
          <w:rFonts w:ascii="PT Astra Serif" w:hAnsi="PT Astra Serif"/>
          <w:b/>
          <w:sz w:val="28"/>
          <w:szCs w:val="28"/>
        </w:rPr>
        <w:t>на территории муниципального образования «Тереньгульский район»</w:t>
      </w:r>
      <w:r w:rsidR="0056026C">
        <w:rPr>
          <w:rFonts w:ascii="PT Astra Serif" w:hAnsi="PT Astra Serif"/>
          <w:b/>
          <w:sz w:val="28"/>
          <w:szCs w:val="28"/>
        </w:rPr>
        <w:t xml:space="preserve"> за 6 месяцев</w:t>
      </w:r>
      <w:r w:rsidR="004460B2">
        <w:rPr>
          <w:rFonts w:ascii="PT Astra Serif" w:hAnsi="PT Astra Serif"/>
          <w:b/>
          <w:sz w:val="28"/>
          <w:szCs w:val="28"/>
        </w:rPr>
        <w:t xml:space="preserve"> 2020 года</w:t>
      </w:r>
      <w:r w:rsidRPr="00AC026B">
        <w:rPr>
          <w:rFonts w:ascii="PT Astra Serif" w:hAnsi="PT Astra Serif"/>
          <w:b/>
          <w:sz w:val="28"/>
          <w:szCs w:val="28"/>
        </w:rPr>
        <w:t>.</w:t>
      </w:r>
    </w:p>
    <w:p w:rsidR="00F674B9" w:rsidRPr="00AC026B" w:rsidRDefault="00F674B9" w:rsidP="00CA380E">
      <w:pPr>
        <w:ind w:firstLine="709"/>
        <w:rPr>
          <w:rFonts w:ascii="PT Astra Serif" w:hAnsi="PT Astra Serif"/>
          <w:sz w:val="28"/>
          <w:szCs w:val="28"/>
        </w:rPr>
      </w:pPr>
    </w:p>
    <w:p w:rsidR="003360BA" w:rsidRPr="005F5BD2" w:rsidRDefault="003360BA" w:rsidP="00085B3A">
      <w:pPr>
        <w:suppressAutoHyphens/>
        <w:ind w:left="-709" w:firstLine="709"/>
        <w:rPr>
          <w:rFonts w:ascii="PT Astra Serif" w:eastAsia="Tahoma" w:hAnsi="PT Astra Serif"/>
          <w:b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1.</w:t>
      </w:r>
      <w:r w:rsidR="00F674B9" w:rsidRPr="005F5BD2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 xml:space="preserve"> О выполнени</w:t>
      </w:r>
      <w:r w:rsidR="004460B2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и</w:t>
      </w:r>
      <w:r w:rsidR="00F674B9" w:rsidRPr="005F5BD2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 xml:space="preserve"> плана мероприятий по достижению показателей регионального проекта </w:t>
      </w:r>
      <w:r w:rsidR="00867DA5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«Финансовая поддержка семей при рождении</w:t>
      </w:r>
      <w:r w:rsidR="005D15C3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 xml:space="preserve"> детей» </w:t>
      </w:r>
      <w:r w:rsidR="00F674B9" w:rsidRPr="005F5BD2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 xml:space="preserve">в части поддержки семей </w:t>
      </w:r>
      <w:r w:rsidR="00F674B9" w:rsidRPr="005F5BD2">
        <w:rPr>
          <w:rFonts w:ascii="PT Astra Serif" w:eastAsia="Tahoma" w:hAnsi="PT Astra Serif"/>
          <w:b/>
          <w:kern w:val="2"/>
          <w:sz w:val="26"/>
          <w:szCs w:val="26"/>
          <w:lang w:eastAsia="hi-IN" w:bidi="hi-IN"/>
        </w:rPr>
        <w:t xml:space="preserve">при рождении первых детей, при рождении третьих и последующих детей. </w:t>
      </w:r>
    </w:p>
    <w:p w:rsidR="00F674B9" w:rsidRPr="005F5BD2" w:rsidRDefault="00F674B9" w:rsidP="00085B3A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proofErr w:type="gramStart"/>
      <w:r w:rsidRPr="005F5BD2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В соответствии с разработанной дорожной картой реализации </w:t>
      </w:r>
      <w:r w:rsidRPr="005F5BD2">
        <w:rPr>
          <w:rFonts w:ascii="PT Astra Serif" w:eastAsia="Lucida Sans Unicode" w:hAnsi="PT Astra Serif" w:cs="Lucida Sans"/>
          <w:kern w:val="2"/>
          <w:sz w:val="26"/>
          <w:szCs w:val="26"/>
          <w:lang w:eastAsia="en-US" w:bidi="hi-IN"/>
        </w:rPr>
        <w:t>проекта</w:t>
      </w:r>
      <w:r w:rsidRPr="005F5BD2">
        <w:rPr>
          <w:rFonts w:ascii="PT Astra Serif" w:hAnsi="PT Astra Serif" w:cs="Lucida Sans"/>
          <w:kern w:val="2"/>
          <w:sz w:val="26"/>
          <w:szCs w:val="26"/>
          <w:lang w:eastAsia="en-US" w:bidi="hi-IN"/>
        </w:rPr>
        <w:t xml:space="preserve"> «Финансовая поддержка семей при рождении детей» </w:t>
      </w:r>
      <w:r w:rsidRPr="005F5BD2">
        <w:rPr>
          <w:rFonts w:ascii="PT Astra Serif" w:eastAsia="Tahoma" w:hAnsi="PT Astra Serif" w:cs="Lucida Sans"/>
          <w:kern w:val="2"/>
          <w:sz w:val="26"/>
          <w:szCs w:val="26"/>
          <w:lang w:bidi="hi-IN"/>
        </w:rPr>
        <w:t>в</w:t>
      </w:r>
      <w:r w:rsidRPr="005F5BD2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целях информирования семей с детьми о мерах социальной поддержки и изменениях в федеральных и региональных законодательных актах Закон Ульяновской области </w:t>
      </w: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№ 113-ЗО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Pr="005F5BD2">
          <w:rPr>
            <w:rFonts w:ascii="PT Astra Serif" w:eastAsia="Tahoma" w:hAnsi="PT Astra Serif" w:cs="Lucida Sans"/>
            <w:b/>
            <w:kern w:val="2"/>
            <w:sz w:val="26"/>
            <w:szCs w:val="26"/>
            <w:lang w:eastAsia="hi-IN" w:bidi="hi-IN"/>
          </w:rPr>
          <w:t>31.08.2012</w:t>
        </w:r>
      </w:smartTag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 г. «О ежемесячной денежной выплате на ребенка до достижения им возраста трех лет»</w:t>
      </w:r>
      <w:r w:rsidRPr="005F5BD2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и Федеральный </w:t>
      </w: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закон  № 418-ФЗ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7"/>
        </w:smartTagPr>
        <w:r w:rsidRPr="005F5BD2">
          <w:rPr>
            <w:rFonts w:ascii="PT Astra Serif" w:eastAsia="Tahoma" w:hAnsi="PT Astra Serif" w:cs="Lucida Sans"/>
            <w:b/>
            <w:kern w:val="2"/>
            <w:sz w:val="26"/>
            <w:szCs w:val="26"/>
            <w:lang w:eastAsia="hi-IN" w:bidi="hi-IN"/>
          </w:rPr>
          <w:t>28.12.2017</w:t>
        </w:r>
      </w:smartTag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 г. «О ежемесячных</w:t>
      </w:r>
      <w:proofErr w:type="gramEnd"/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 </w:t>
      </w:r>
      <w:proofErr w:type="gramStart"/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выплат</w:t>
      </w:r>
      <w:r w:rsidR="00550699"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ах</w:t>
      </w:r>
      <w:proofErr w:type="gramEnd"/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 семьям, имеющим детей»</w:t>
      </w:r>
      <w:r w:rsidRPr="005F5BD2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</w:t>
      </w: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в 20</w:t>
      </w:r>
      <w:r w:rsidR="003360BA"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20</w:t>
      </w: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 году запланировано </w:t>
      </w:r>
      <w:r w:rsidR="00EE67E3"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24</w:t>
      </w:r>
      <w:r w:rsidR="00EE67E3" w:rsidRPr="005F5BD2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</w:t>
      </w: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публикаци</w:t>
      </w:r>
      <w:r w:rsidR="00EE67E3"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и</w:t>
      </w: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 в СМИ</w:t>
      </w:r>
      <w:r w:rsidRPr="005F5BD2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, в том числе: </w:t>
      </w:r>
    </w:p>
    <w:p w:rsidR="004460B2" w:rsidRDefault="00EE67E3" w:rsidP="004460B2">
      <w:pPr>
        <w:suppressAutoHyphens/>
        <w:ind w:left="-709" w:firstLine="709"/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u w:val="single"/>
          <w:lang w:eastAsia="hi-IN" w:bidi="hi-IN"/>
        </w:rPr>
        <w:t xml:space="preserve">12 </w:t>
      </w:r>
      <w:r w:rsidR="00F674B9" w:rsidRPr="005F5BD2">
        <w:rPr>
          <w:rFonts w:ascii="PT Astra Serif" w:eastAsia="Tahoma" w:hAnsi="PT Astra Serif" w:cs="Lucida Sans"/>
          <w:b/>
          <w:kern w:val="2"/>
          <w:sz w:val="26"/>
          <w:szCs w:val="26"/>
          <w:u w:val="single"/>
          <w:lang w:eastAsia="hi-IN" w:bidi="hi-IN"/>
        </w:rPr>
        <w:t>статей</w:t>
      </w:r>
      <w:r w:rsidR="00F674B9" w:rsidRPr="005F5BD2">
        <w:rPr>
          <w:rFonts w:ascii="PT Astra Serif" w:eastAsia="Tahoma" w:hAnsi="PT Astra Serif" w:cs="Lucida Sans"/>
          <w:kern w:val="2"/>
          <w:sz w:val="26"/>
          <w:szCs w:val="26"/>
          <w:u w:val="single"/>
          <w:lang w:eastAsia="hi-IN" w:bidi="hi-IN"/>
        </w:rPr>
        <w:t xml:space="preserve"> </w:t>
      </w:r>
      <w:r w:rsidR="00F674B9"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с освещением поддержки семей при рождении первых детей. </w:t>
      </w:r>
    </w:p>
    <w:p w:rsidR="003360BA" w:rsidRPr="004460B2" w:rsidRDefault="003360BA" w:rsidP="004460B2">
      <w:pPr>
        <w:suppressAutoHyphens/>
        <w:ind w:left="-709" w:firstLine="709"/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Times New Roman" w:hAnsi="PT Astra Serif"/>
          <w:sz w:val="26"/>
          <w:szCs w:val="26"/>
        </w:rPr>
        <w:t>По состоянию на 01.07.2020 года в средствах массовой информации размещено 10 статей</w:t>
      </w:r>
      <w:r w:rsidR="00FC16AC" w:rsidRPr="005F5BD2">
        <w:rPr>
          <w:rFonts w:ascii="PT Astra Serif" w:eastAsia="Times New Roman" w:hAnsi="PT Astra Serif"/>
          <w:sz w:val="26"/>
          <w:szCs w:val="26"/>
        </w:rPr>
        <w:t>, что составляет 83%.</w:t>
      </w:r>
    </w:p>
    <w:p w:rsidR="004460B2" w:rsidRDefault="00F674B9" w:rsidP="004460B2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- </w:t>
      </w:r>
      <w:r w:rsidR="00EE67E3"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12</w:t>
      </w:r>
      <w:r w:rsidRPr="005F5BD2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 xml:space="preserve"> статей с освещением поддержи семей при рождении третьих и последующих детей. </w:t>
      </w:r>
    </w:p>
    <w:p w:rsidR="00AF66F2" w:rsidRPr="005F5BD2" w:rsidRDefault="00AF66F2" w:rsidP="004460B2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Times New Roman" w:hAnsi="PT Astra Serif"/>
          <w:sz w:val="26"/>
          <w:szCs w:val="26"/>
        </w:rPr>
        <w:t>По состоянию на 01.07.2020 года в средствах массовой информации размещено 5 статей</w:t>
      </w:r>
      <w:r w:rsidR="00FC16AC" w:rsidRPr="005F5BD2">
        <w:rPr>
          <w:rFonts w:ascii="PT Astra Serif" w:eastAsia="Times New Roman" w:hAnsi="PT Astra Serif"/>
          <w:sz w:val="26"/>
          <w:szCs w:val="26"/>
        </w:rPr>
        <w:t>,</w:t>
      </w:r>
      <w:r w:rsidR="00E86590" w:rsidRPr="005F5BD2">
        <w:rPr>
          <w:rFonts w:ascii="PT Astra Serif" w:eastAsia="Times New Roman" w:hAnsi="PT Astra Serif"/>
          <w:sz w:val="26"/>
          <w:szCs w:val="26"/>
        </w:rPr>
        <w:t xml:space="preserve"> </w:t>
      </w:r>
      <w:r w:rsidR="00FC16AC" w:rsidRPr="005F5BD2">
        <w:rPr>
          <w:rFonts w:ascii="PT Astra Serif" w:eastAsia="Times New Roman" w:hAnsi="PT Astra Serif"/>
          <w:sz w:val="26"/>
          <w:szCs w:val="26"/>
        </w:rPr>
        <w:t>что составляет 42%</w:t>
      </w:r>
      <w:r w:rsidRPr="005F5BD2">
        <w:rPr>
          <w:rFonts w:ascii="PT Astra Serif" w:eastAsia="Times New Roman" w:hAnsi="PT Astra Serif"/>
          <w:sz w:val="26"/>
          <w:szCs w:val="26"/>
        </w:rPr>
        <w:t xml:space="preserve">. </w:t>
      </w:r>
    </w:p>
    <w:p w:rsidR="00FC16AC" w:rsidRPr="005F5BD2" w:rsidRDefault="00FC16AC" w:rsidP="005F5BD2">
      <w:pPr>
        <w:suppressAutoHyphens/>
        <w:ind w:left="-709" w:firstLine="709"/>
        <w:rPr>
          <w:rFonts w:ascii="PT Astra Serif" w:hAnsi="PT Astra Serif"/>
          <w:sz w:val="26"/>
          <w:szCs w:val="26"/>
        </w:rPr>
      </w:pPr>
      <w:r w:rsidRPr="005F5BD2">
        <w:rPr>
          <w:rFonts w:ascii="PT Astra Serif" w:hAnsi="PT Astra Serif"/>
          <w:sz w:val="26"/>
          <w:szCs w:val="26"/>
        </w:rPr>
        <w:t>Информирование по социальной поддержке семей с детьми производится во время различных мероприятий, на личном приеме во время районных и областных агитпоездов, во время обследования условий проживания и других мероприятий.  В период с 01.01.2020 г.  по 30.06.2020 г. специалист</w:t>
      </w:r>
      <w:r w:rsidR="004460B2">
        <w:rPr>
          <w:rFonts w:ascii="PT Astra Serif" w:hAnsi="PT Astra Serif"/>
          <w:sz w:val="26"/>
          <w:szCs w:val="26"/>
        </w:rPr>
        <w:t>ами</w:t>
      </w:r>
      <w:r w:rsidRPr="005F5BD2">
        <w:rPr>
          <w:rFonts w:ascii="PT Astra Serif" w:hAnsi="PT Astra Serif"/>
          <w:sz w:val="26"/>
          <w:szCs w:val="26"/>
        </w:rPr>
        <w:t xml:space="preserve"> ОГКУСЗН Ульяновской области </w:t>
      </w:r>
      <w:r w:rsidR="004460B2">
        <w:rPr>
          <w:rFonts w:ascii="PT Astra Serif" w:hAnsi="PT Astra Serif"/>
          <w:sz w:val="26"/>
          <w:szCs w:val="26"/>
        </w:rPr>
        <w:t>О</w:t>
      </w:r>
      <w:r w:rsidRPr="005F5BD2">
        <w:rPr>
          <w:rFonts w:ascii="PT Astra Serif" w:hAnsi="PT Astra Serif"/>
          <w:sz w:val="26"/>
          <w:szCs w:val="26"/>
        </w:rPr>
        <w:t>тделение по Тереньгульскому району проведен</w:t>
      </w:r>
      <w:r w:rsidR="004460B2">
        <w:rPr>
          <w:rFonts w:ascii="PT Astra Serif" w:hAnsi="PT Astra Serif"/>
          <w:sz w:val="26"/>
          <w:szCs w:val="26"/>
        </w:rPr>
        <w:t>ы следующие</w:t>
      </w:r>
      <w:r w:rsidRPr="005F5BD2">
        <w:rPr>
          <w:rFonts w:ascii="PT Astra Serif" w:hAnsi="PT Astra Serif"/>
          <w:sz w:val="26"/>
          <w:szCs w:val="26"/>
        </w:rPr>
        <w:t xml:space="preserve"> мероприяти</w:t>
      </w:r>
      <w:r w:rsidR="004460B2">
        <w:rPr>
          <w:rFonts w:ascii="PT Astra Serif" w:hAnsi="PT Astra Serif"/>
          <w:sz w:val="26"/>
          <w:szCs w:val="26"/>
        </w:rPr>
        <w:t>я</w:t>
      </w:r>
      <w:r w:rsidRPr="005F5BD2">
        <w:rPr>
          <w:rFonts w:ascii="PT Astra Serif" w:hAnsi="PT Astra Serif"/>
          <w:sz w:val="26"/>
          <w:szCs w:val="26"/>
        </w:rPr>
        <w:t>:</w:t>
      </w:r>
    </w:p>
    <w:p w:rsidR="00FC16AC" w:rsidRPr="005F5BD2" w:rsidRDefault="00FC16AC" w:rsidP="005F5BD2">
      <w:pPr>
        <w:widowControl w:val="0"/>
        <w:ind w:left="-709" w:firstLine="708"/>
        <w:textAlignment w:val="baseline"/>
        <w:rPr>
          <w:rFonts w:ascii="PT Astra Serif" w:hAnsi="PT Astra Serif"/>
          <w:sz w:val="26"/>
          <w:szCs w:val="26"/>
        </w:rPr>
      </w:pPr>
      <w:r w:rsidRPr="005F5BD2">
        <w:rPr>
          <w:rFonts w:ascii="PT Astra Serif" w:hAnsi="PT Astra Serif"/>
          <w:sz w:val="26"/>
          <w:szCs w:val="26"/>
        </w:rPr>
        <w:t>- родительские собрания в муниципальных бюджетных дошкольных образовательных учреждениях Тереньгульского района Ульяновской области</w:t>
      </w:r>
      <w:r w:rsidR="00C0588B">
        <w:rPr>
          <w:rFonts w:ascii="PT Astra Serif" w:hAnsi="PT Astra Serif"/>
          <w:sz w:val="26"/>
          <w:szCs w:val="26"/>
        </w:rPr>
        <w:t>;</w:t>
      </w:r>
    </w:p>
    <w:p w:rsidR="00FC16AC" w:rsidRPr="005F5BD2" w:rsidRDefault="00FC16AC" w:rsidP="005F5BD2">
      <w:pPr>
        <w:widowControl w:val="0"/>
        <w:ind w:left="-709" w:firstLine="708"/>
        <w:textAlignment w:val="baseline"/>
        <w:rPr>
          <w:rFonts w:ascii="PT Astra Serif" w:hAnsi="PT Astra Serif"/>
          <w:sz w:val="26"/>
          <w:szCs w:val="26"/>
        </w:rPr>
      </w:pPr>
      <w:r w:rsidRPr="005F5BD2">
        <w:rPr>
          <w:rFonts w:ascii="PT Astra Serif" w:hAnsi="PT Astra Serif"/>
          <w:sz w:val="26"/>
          <w:szCs w:val="26"/>
        </w:rPr>
        <w:t xml:space="preserve">- </w:t>
      </w:r>
      <w:r w:rsidR="00C0588B">
        <w:rPr>
          <w:rFonts w:ascii="PT Astra Serif" w:hAnsi="PT Astra Serif"/>
          <w:sz w:val="26"/>
          <w:szCs w:val="26"/>
        </w:rPr>
        <w:t xml:space="preserve">районный </w:t>
      </w:r>
      <w:r w:rsidRPr="005F5BD2">
        <w:rPr>
          <w:rFonts w:ascii="PT Astra Serif" w:hAnsi="PT Astra Serif"/>
          <w:sz w:val="26"/>
          <w:szCs w:val="26"/>
        </w:rPr>
        <w:t>агитпоезд «За здоровый образ жизни и здоровую счастливую семью</w:t>
      </w:r>
      <w:r w:rsidR="00C0588B">
        <w:rPr>
          <w:rFonts w:ascii="PT Astra Serif" w:hAnsi="PT Astra Serif"/>
          <w:sz w:val="26"/>
          <w:szCs w:val="26"/>
        </w:rPr>
        <w:t xml:space="preserve">» </w:t>
      </w:r>
      <w:r w:rsidRPr="005F5BD2">
        <w:rPr>
          <w:rFonts w:ascii="PT Astra Serif" w:hAnsi="PT Astra Serif"/>
          <w:sz w:val="26"/>
          <w:szCs w:val="26"/>
        </w:rPr>
        <w:t xml:space="preserve">в рамках </w:t>
      </w:r>
      <w:proofErr w:type="gramStart"/>
      <w:r w:rsidRPr="005F5BD2">
        <w:rPr>
          <w:rFonts w:ascii="PT Astra Serif" w:hAnsi="PT Astra Serif"/>
          <w:sz w:val="26"/>
          <w:szCs w:val="26"/>
        </w:rPr>
        <w:t>котор</w:t>
      </w:r>
      <w:r w:rsidR="00C0588B">
        <w:rPr>
          <w:rFonts w:ascii="PT Astra Serif" w:hAnsi="PT Astra Serif"/>
          <w:sz w:val="26"/>
          <w:szCs w:val="26"/>
        </w:rPr>
        <w:t>ого</w:t>
      </w:r>
      <w:proofErr w:type="gramEnd"/>
      <w:r w:rsidRPr="005F5BD2">
        <w:rPr>
          <w:rFonts w:ascii="PT Astra Serif" w:hAnsi="PT Astra Serif"/>
          <w:sz w:val="26"/>
          <w:szCs w:val="26"/>
        </w:rPr>
        <w:t xml:space="preserve"> работали консультативные площадки и круглые столы;</w:t>
      </w:r>
    </w:p>
    <w:p w:rsidR="00FC16AC" w:rsidRPr="005F5BD2" w:rsidRDefault="00FC16AC" w:rsidP="005F5BD2">
      <w:pPr>
        <w:widowControl w:val="0"/>
        <w:ind w:left="-709" w:firstLine="708"/>
        <w:textAlignment w:val="baseline"/>
        <w:rPr>
          <w:rFonts w:ascii="PT Astra Serif" w:hAnsi="PT Astra Serif"/>
          <w:sz w:val="26"/>
          <w:szCs w:val="26"/>
        </w:rPr>
      </w:pPr>
      <w:r w:rsidRPr="005F5BD2">
        <w:rPr>
          <w:rFonts w:ascii="PT Astra Serif" w:hAnsi="PT Astra Serif"/>
          <w:sz w:val="26"/>
          <w:szCs w:val="26"/>
        </w:rPr>
        <w:t>- работа «Школы беременных», где 2 раза в месяц проводи</w:t>
      </w:r>
      <w:r w:rsidR="00C0588B">
        <w:rPr>
          <w:rFonts w:ascii="PT Astra Serif" w:hAnsi="PT Astra Serif"/>
          <w:sz w:val="26"/>
          <w:szCs w:val="26"/>
        </w:rPr>
        <w:t>лось</w:t>
      </w:r>
      <w:r w:rsidRPr="005F5BD2">
        <w:rPr>
          <w:rFonts w:ascii="PT Astra Serif" w:hAnsi="PT Astra Serif"/>
          <w:sz w:val="26"/>
          <w:szCs w:val="26"/>
        </w:rPr>
        <w:t xml:space="preserve"> информирование беременных о мерах социальной поддержки с раздачей памяток;</w:t>
      </w:r>
    </w:p>
    <w:p w:rsidR="00FC16AC" w:rsidRPr="005F5BD2" w:rsidRDefault="00FC16AC" w:rsidP="005F5BD2">
      <w:pPr>
        <w:widowControl w:val="0"/>
        <w:ind w:left="-709" w:firstLine="708"/>
        <w:textAlignment w:val="baseline"/>
        <w:rPr>
          <w:rFonts w:ascii="PT Astra Serif" w:hAnsi="PT Astra Serif"/>
          <w:sz w:val="26"/>
          <w:szCs w:val="26"/>
        </w:rPr>
      </w:pPr>
      <w:r w:rsidRPr="005F5BD2">
        <w:rPr>
          <w:rFonts w:ascii="PT Astra Serif" w:hAnsi="PT Astra Serif"/>
          <w:sz w:val="26"/>
          <w:szCs w:val="26"/>
        </w:rPr>
        <w:t>- проведено обследование условий проживания 101 семьи с детьми</w:t>
      </w:r>
      <w:r w:rsidR="00C0588B">
        <w:rPr>
          <w:rFonts w:ascii="PT Astra Serif" w:hAnsi="PT Astra Serif"/>
          <w:sz w:val="26"/>
          <w:szCs w:val="26"/>
        </w:rPr>
        <w:t>, в том числе беременных женщин.</w:t>
      </w:r>
    </w:p>
    <w:p w:rsidR="00C0588B" w:rsidRDefault="00C0588B" w:rsidP="005F5BD2">
      <w:pPr>
        <w:ind w:left="-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="00FC16AC" w:rsidRPr="005F5BD2">
        <w:rPr>
          <w:rFonts w:ascii="PT Astra Serif" w:hAnsi="PT Astra Serif"/>
          <w:sz w:val="26"/>
          <w:szCs w:val="26"/>
        </w:rPr>
        <w:t>В ходе указанных мероприяти</w:t>
      </w:r>
      <w:r w:rsidR="00867DA5">
        <w:rPr>
          <w:rFonts w:ascii="PT Astra Serif" w:hAnsi="PT Astra Serif"/>
          <w:sz w:val="26"/>
          <w:szCs w:val="26"/>
        </w:rPr>
        <w:t>й</w:t>
      </w:r>
      <w:r w:rsidR="00FC16AC" w:rsidRPr="005F5BD2">
        <w:rPr>
          <w:rFonts w:ascii="PT Astra Serif" w:hAnsi="PT Astra Serif"/>
          <w:sz w:val="26"/>
          <w:szCs w:val="26"/>
        </w:rPr>
        <w:t xml:space="preserve"> роздано 973 памятки. </w:t>
      </w:r>
    </w:p>
    <w:p w:rsidR="00F43D28" w:rsidRPr="005F5BD2" w:rsidRDefault="00C0588B" w:rsidP="005F5BD2">
      <w:pPr>
        <w:ind w:left="-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="00F43D28" w:rsidRPr="005F5BD2">
        <w:rPr>
          <w:rFonts w:ascii="PT Astra Serif" w:hAnsi="PT Astra Serif"/>
          <w:sz w:val="26"/>
          <w:szCs w:val="26"/>
        </w:rPr>
        <w:t>В период пандемии (с 27.03.2020 г. по  01.07.2020 г.) производи</w:t>
      </w:r>
      <w:r w:rsidR="00867DA5">
        <w:rPr>
          <w:rFonts w:ascii="PT Astra Serif" w:hAnsi="PT Astra Serif"/>
          <w:sz w:val="26"/>
          <w:szCs w:val="26"/>
        </w:rPr>
        <w:t>л</w:t>
      </w:r>
      <w:r w:rsidR="00F43D28" w:rsidRPr="005F5BD2">
        <w:rPr>
          <w:rFonts w:ascii="PT Astra Serif" w:hAnsi="PT Astra Serif"/>
          <w:sz w:val="26"/>
          <w:szCs w:val="26"/>
        </w:rPr>
        <w:t xml:space="preserve">ся обзвон 1052 семей по </w:t>
      </w:r>
      <w:r w:rsidR="00867DA5">
        <w:rPr>
          <w:rFonts w:ascii="PT Astra Serif" w:hAnsi="PT Astra Serif"/>
          <w:sz w:val="26"/>
          <w:szCs w:val="26"/>
        </w:rPr>
        <w:t>информированию</w:t>
      </w:r>
      <w:r w:rsidR="00F43D28" w:rsidRPr="005F5BD2">
        <w:rPr>
          <w:rFonts w:ascii="PT Astra Serif" w:hAnsi="PT Astra Serif"/>
          <w:sz w:val="26"/>
          <w:szCs w:val="26"/>
        </w:rPr>
        <w:t xml:space="preserve"> </w:t>
      </w:r>
      <w:r w:rsidR="00867DA5">
        <w:rPr>
          <w:rFonts w:ascii="PT Astra Serif" w:hAnsi="PT Astra Serif"/>
          <w:sz w:val="26"/>
          <w:szCs w:val="26"/>
        </w:rPr>
        <w:t>о</w:t>
      </w:r>
      <w:r w:rsidR="00F43D28" w:rsidRPr="005F5BD2">
        <w:rPr>
          <w:rFonts w:ascii="PT Astra Serif" w:hAnsi="PT Astra Serif"/>
          <w:sz w:val="26"/>
          <w:szCs w:val="26"/>
        </w:rPr>
        <w:t xml:space="preserve"> новы</w:t>
      </w:r>
      <w:r w:rsidR="00867DA5">
        <w:rPr>
          <w:rFonts w:ascii="PT Astra Serif" w:hAnsi="PT Astra Serif"/>
          <w:sz w:val="26"/>
          <w:szCs w:val="26"/>
        </w:rPr>
        <w:t>х</w:t>
      </w:r>
      <w:r w:rsidR="00F43D28" w:rsidRPr="005F5BD2">
        <w:rPr>
          <w:rFonts w:ascii="PT Astra Serif" w:hAnsi="PT Astra Serif"/>
          <w:sz w:val="26"/>
          <w:szCs w:val="26"/>
        </w:rPr>
        <w:t xml:space="preserve"> мера</w:t>
      </w:r>
      <w:r w:rsidR="00867DA5">
        <w:rPr>
          <w:rFonts w:ascii="PT Astra Serif" w:hAnsi="PT Astra Serif"/>
          <w:sz w:val="26"/>
          <w:szCs w:val="26"/>
        </w:rPr>
        <w:t>х</w:t>
      </w:r>
      <w:r w:rsidR="00F43D28" w:rsidRPr="005F5BD2">
        <w:rPr>
          <w:rFonts w:ascii="PT Astra Serif" w:hAnsi="PT Astra Serif"/>
          <w:sz w:val="26"/>
          <w:szCs w:val="26"/>
        </w:rPr>
        <w:t xml:space="preserve"> социальной поддержки.</w:t>
      </w:r>
    </w:p>
    <w:p w:rsidR="00F674B9" w:rsidRPr="005F5BD2" w:rsidRDefault="00FC16AC" w:rsidP="00867DA5">
      <w:pPr>
        <w:widowControl w:val="0"/>
        <w:ind w:left="-709" w:firstLine="708"/>
        <w:textAlignment w:val="baseline"/>
        <w:rPr>
          <w:rFonts w:ascii="PT Astra Serif" w:hAnsi="PT Astra Serif"/>
          <w:sz w:val="26"/>
          <w:szCs w:val="26"/>
        </w:rPr>
      </w:pPr>
      <w:r w:rsidRPr="005F5BD2">
        <w:rPr>
          <w:rFonts w:ascii="PT Astra Serif" w:hAnsi="PT Astra Serif"/>
          <w:sz w:val="26"/>
          <w:szCs w:val="26"/>
        </w:rPr>
        <w:t>Ежемесячно провод</w:t>
      </w:r>
      <w:r w:rsidR="00867DA5">
        <w:rPr>
          <w:rFonts w:ascii="PT Astra Serif" w:hAnsi="PT Astra Serif"/>
          <w:sz w:val="26"/>
          <w:szCs w:val="26"/>
        </w:rPr>
        <w:t>ились</w:t>
      </w:r>
      <w:r w:rsidRPr="005F5BD2">
        <w:rPr>
          <w:rFonts w:ascii="PT Astra Serif" w:hAnsi="PT Astra Serif"/>
          <w:sz w:val="26"/>
          <w:szCs w:val="26"/>
        </w:rPr>
        <w:t xml:space="preserve"> справочно-информационные линии по предоставлению мер социальной поддержки семей с детьми по четырем направлениям. </w:t>
      </w:r>
    </w:p>
    <w:p w:rsidR="00F674B9" w:rsidRPr="005F5BD2" w:rsidRDefault="00F674B9" w:rsidP="007805C5">
      <w:pPr>
        <w:ind w:firstLine="709"/>
        <w:rPr>
          <w:rFonts w:ascii="PT Astra Serif" w:hAnsi="PT Astra Serif"/>
          <w:sz w:val="26"/>
          <w:szCs w:val="26"/>
        </w:rPr>
      </w:pPr>
    </w:p>
    <w:p w:rsidR="00722D37" w:rsidRPr="005D15C3" w:rsidRDefault="00722D37" w:rsidP="005D15C3">
      <w:pPr>
        <w:suppressAutoHyphens/>
        <w:ind w:left="-709" w:firstLine="709"/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</w:pPr>
      <w:r w:rsidRPr="005D15C3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2.</w:t>
      </w:r>
      <w:r w:rsidR="00FF386C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1.</w:t>
      </w:r>
      <w:r w:rsidRPr="005D15C3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 xml:space="preserve"> О выполнении </w:t>
      </w:r>
      <w:r w:rsidR="00EE67E3" w:rsidRPr="005D15C3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показателей регионального проекта</w:t>
      </w:r>
      <w:r w:rsidR="00C93A84" w:rsidRPr="005D15C3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 xml:space="preserve"> «</w:t>
      </w:r>
      <w:r w:rsidR="005D15C3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Старшее поколение»</w:t>
      </w:r>
      <w:r w:rsidR="00732D41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 xml:space="preserve"> в части увеличения периода активного долголетия и продолжительности здоровой жизни человека</w:t>
      </w:r>
      <w:r w:rsidR="005D15C3">
        <w:rPr>
          <w:rFonts w:ascii="PT Astra Serif" w:eastAsia="Tahoma" w:hAnsi="PT Astra Serif"/>
          <w:b/>
          <w:bCs/>
          <w:kern w:val="2"/>
          <w:sz w:val="26"/>
          <w:szCs w:val="26"/>
          <w:lang w:eastAsia="hi-IN" w:bidi="hi-IN"/>
        </w:rPr>
        <w:t>.</w:t>
      </w:r>
    </w:p>
    <w:p w:rsidR="00722D37" w:rsidRPr="00FF386C" w:rsidRDefault="00722D37" w:rsidP="00722D37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Региональный проект - «Разработка и реализация программы системной поддержки и повышения качества жизни граждан старшего поколения «Старшее поколение» направлен в первую очередь на увеличение периода активного долголетия и продолжительности здоровой жизни человека, а также на создание системы долговременного ухода за гражданами пожилого возраста и инвалидами.</w:t>
      </w:r>
    </w:p>
    <w:p w:rsidR="00722D37" w:rsidRPr="00FF386C" w:rsidRDefault="00722D37" w:rsidP="00722D37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Основной целью проекта является увеличение продолжительности здоровой и активной жизни в Ульяновской области до 67 лет.</w:t>
      </w:r>
    </w:p>
    <w:p w:rsidR="00C93A84" w:rsidRPr="005F5BD2" w:rsidRDefault="00C93A84" w:rsidP="00C93A84">
      <w:pPr>
        <w:widowControl w:val="0"/>
        <w:suppressAutoHyphens/>
        <w:autoSpaceDE w:val="0"/>
        <w:ind w:left="-709"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В целях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для каждого муниципального образования были разработаны целевые </w:t>
      </w: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lastRenderedPageBreak/>
        <w:t>индикаторы для достижения поставленной</w:t>
      </w:r>
      <w:r w:rsidRPr="005F5BD2">
        <w:rPr>
          <w:rFonts w:ascii="PT Astra Serif" w:eastAsia="Tahoma" w:hAnsi="PT Astra Serif" w:cstheme="minorBidi"/>
          <w:kern w:val="1"/>
          <w:sz w:val="26"/>
          <w:szCs w:val="26"/>
          <w:lang w:eastAsia="ar-SA"/>
        </w:rPr>
        <w:t xml:space="preserve"> задачи по вовлечению граждан старшего поколения в активное долголетие.</w:t>
      </w:r>
      <w:r w:rsidRPr="005F5BD2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5F5BD2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Перед нами стоит задача </w:t>
      </w:r>
      <w:r w:rsidRPr="005F5BD2">
        <w:rPr>
          <w:rFonts w:ascii="PT Astra Serif" w:eastAsiaTheme="minorHAnsi" w:hAnsi="PT Astra Serif"/>
          <w:b/>
          <w:sz w:val="26"/>
          <w:szCs w:val="26"/>
          <w:lang w:eastAsia="en-US"/>
        </w:rPr>
        <w:t>увеличить процент  граждан старшего поколения принимающих участие в социальной жизни  общества  до 80 % (3398 чел.) к 2024 г.,  в 2020 г. -  60 %  (2527 чел.),</w:t>
      </w:r>
      <w:r w:rsidRPr="005F5BD2">
        <w:rPr>
          <w:rFonts w:ascii="PT Astra Serif" w:eastAsiaTheme="minorHAnsi" w:hAnsi="PT Astra Serif"/>
          <w:sz w:val="26"/>
          <w:szCs w:val="26"/>
          <w:lang w:eastAsia="en-US"/>
        </w:rPr>
        <w:t xml:space="preserve"> т.е. необходимо привлечь в течение года 133 гражданина старшего поколения. </w:t>
      </w:r>
    </w:p>
    <w:p w:rsidR="00C93A84" w:rsidRPr="00FF386C" w:rsidRDefault="00C93A84" w:rsidP="00C93A84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В Тереньгульском районе проживает 5152 гражданина пожилого возраста, что составляет 30 % от населения района</w:t>
      </w:r>
      <w:r w:rsidR="00732D41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,</w:t>
      </w: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из них 4248 граждан старшего поколения могут быть вовлечены  в проект Активное</w:t>
      </w:r>
      <w:r w:rsidR="00732D41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долголетие</w:t>
      </w: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.</w:t>
      </w:r>
    </w:p>
    <w:p w:rsidR="00E2281F" w:rsidRPr="00FF386C" w:rsidRDefault="00C93A84" w:rsidP="00C93A84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На 01.01.2020 года 56 % (2394 чел.) граждан старшего поколения участ</w:t>
      </w:r>
      <w:r w:rsidR="00732D41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вуют</w:t>
      </w: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в социальной жизни района, из них 22 % (520 чел.) составляют участники клубных объединений и Центров активного долголетия. </w:t>
      </w:r>
    </w:p>
    <w:p w:rsidR="00E2281F" w:rsidRPr="00FF386C" w:rsidRDefault="00144086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В МО «Тереньгульский район» д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ействуют </w:t>
      </w: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следующие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Центр</w:t>
      </w: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ы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активного долголетия:</w:t>
      </w:r>
    </w:p>
    <w:p w:rsidR="00E2281F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1)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ЦАД «Вектор», </w:t>
      </w:r>
      <w:proofErr w:type="spell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р.п</w:t>
      </w:r>
      <w:proofErr w:type="spellEnd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. Тереньга;</w:t>
      </w:r>
    </w:p>
    <w:p w:rsidR="00E2281F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2)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ЦАД «Сельчанка», с. Красноборск МО «Красноборское СП»;</w:t>
      </w:r>
    </w:p>
    <w:p w:rsidR="00E2281F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3)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ЦАД «Клад», </w:t>
      </w:r>
      <w:proofErr w:type="gram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с</w:t>
      </w:r>
      <w:proofErr w:type="gramEnd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. </w:t>
      </w:r>
      <w:proofErr w:type="gram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Сосновка</w:t>
      </w:r>
      <w:proofErr w:type="gramEnd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МО «Белогорское СП»;</w:t>
      </w:r>
    </w:p>
    <w:p w:rsidR="00E2281F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4)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ЦАД «Соловушка», </w:t>
      </w:r>
      <w:proofErr w:type="gram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с</w:t>
      </w:r>
      <w:proofErr w:type="gramEnd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. </w:t>
      </w:r>
      <w:proofErr w:type="gram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Елшанка</w:t>
      </w:r>
      <w:proofErr w:type="gramEnd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МО «Михайловское СП»;</w:t>
      </w:r>
    </w:p>
    <w:p w:rsidR="00E2281F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5)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ЦАД «</w:t>
      </w:r>
      <w:proofErr w:type="spell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Ивушка</w:t>
      </w:r>
      <w:proofErr w:type="spellEnd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» с. </w:t>
      </w:r>
      <w:proofErr w:type="gram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Бо</w:t>
      </w:r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льшая</w:t>
      </w:r>
      <w:proofErr w:type="gramEnd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Борла</w:t>
      </w:r>
      <w:proofErr w:type="spellEnd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МО «Белогорское СП»;</w:t>
      </w:r>
    </w:p>
    <w:p w:rsidR="00E2281F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6)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ЦАД «САД» </w:t>
      </w:r>
      <w:proofErr w:type="gramStart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с</w:t>
      </w:r>
      <w:proofErr w:type="gramEnd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. </w:t>
      </w:r>
      <w:proofErr w:type="gramStart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Солдатская</w:t>
      </w:r>
      <w:proofErr w:type="gramEnd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Ташла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МО «Подкуровское сельское поселение»</w:t>
      </w:r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;</w:t>
      </w:r>
    </w:p>
    <w:p w:rsidR="00144086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7)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ЦАД «Территория талантов» </w:t>
      </w:r>
      <w:proofErr w:type="spellStart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с</w:t>
      </w:r>
      <w:proofErr w:type="gramStart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.П</w:t>
      </w:r>
      <w:proofErr w:type="gramEnd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одкуровка</w:t>
      </w:r>
      <w:proofErr w:type="spellEnd"/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МО «Подкуровское СП»</w:t>
      </w:r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;</w:t>
      </w:r>
    </w:p>
    <w:p w:rsidR="00C93A84" w:rsidRPr="00FF386C" w:rsidRDefault="00FF386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8) </w:t>
      </w:r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ЦАД «Вечная молодость» </w:t>
      </w:r>
      <w:proofErr w:type="gramStart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в</w:t>
      </w:r>
      <w:proofErr w:type="gramEnd"/>
      <w:r w:rsidR="00E2281F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с. Байдулино</w:t>
      </w:r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.</w:t>
      </w:r>
    </w:p>
    <w:p w:rsidR="00E2281F" w:rsidRPr="00144086" w:rsidRDefault="00E2281F" w:rsidP="00144086">
      <w:pPr>
        <w:ind w:left="1065"/>
        <w:rPr>
          <w:rFonts w:ascii="PT Astra Serif" w:eastAsiaTheme="minorHAnsi" w:hAnsi="PT Astra Serif"/>
          <w:bCs/>
          <w:sz w:val="26"/>
          <w:szCs w:val="26"/>
          <w:lang w:eastAsia="en-US"/>
        </w:rPr>
      </w:pP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В </w:t>
      </w:r>
      <w:proofErr w:type="spellStart"/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ЦАДах</w:t>
      </w:r>
      <w:proofErr w:type="spellEnd"/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организована работа по следующим направлениям: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литературное;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оздоровительное;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шахматное;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правовое;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туристическое;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театральное;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историческое;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прикладное творчество;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хоровое пение;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цветоводство;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- краеведение.</w:t>
      </w:r>
    </w:p>
    <w:p w:rsidR="00C93A84" w:rsidRPr="00FF386C" w:rsidRDefault="00C93A84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Для успешной работы центров активного долголетия подписаны соглашения о взаимодействии Администрации МО «Тереньгульский район», Областного государственного казенного учреждения социальной защиты населения Ульяновской области отделение по Тереньгульскому району, Муниципального учреждения Отдел по делам культуры и организации досуга населения муниципального образования «Тереньгульский район», Государственного учреждения здравоохранения «Тереньгульская районная больница», Муниципального учреждения Отдел образования муниципального образования «Тереньгульский район» Ульяновской области и</w:t>
      </w:r>
      <w:r w:rsidR="00144086"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 Центрами активного долголетия.</w:t>
      </w:r>
    </w:p>
    <w:p w:rsidR="00C93A84" w:rsidRPr="005F5BD2" w:rsidRDefault="00C93A84" w:rsidP="00C93A84">
      <w:pPr>
        <w:ind w:left="-709" w:firstLine="709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FF386C" w:rsidRDefault="00FF386C" w:rsidP="00FF386C">
      <w:pPr>
        <w:jc w:val="center"/>
        <w:rPr>
          <w:rFonts w:ascii="PT Astra Serif" w:eastAsia="Times New Roman" w:hAnsi="PT Astra Serif"/>
          <w:b/>
          <w:sz w:val="26"/>
          <w:szCs w:val="26"/>
        </w:rPr>
      </w:pPr>
      <w:r>
        <w:rPr>
          <w:rFonts w:ascii="PT Astra Serif" w:eastAsia="Times New Roman" w:hAnsi="PT Astra Serif"/>
          <w:b/>
          <w:sz w:val="26"/>
          <w:szCs w:val="26"/>
        </w:rPr>
        <w:t xml:space="preserve">2.2. </w:t>
      </w:r>
      <w:r w:rsidR="00C93A84" w:rsidRPr="005F5BD2">
        <w:rPr>
          <w:rFonts w:ascii="PT Astra Serif" w:eastAsia="Times New Roman" w:hAnsi="PT Astra Serif"/>
          <w:b/>
          <w:sz w:val="26"/>
          <w:szCs w:val="26"/>
        </w:rPr>
        <w:t xml:space="preserve">О выполнении </w:t>
      </w:r>
      <w:r w:rsidR="008844CC" w:rsidRPr="005F5BD2">
        <w:rPr>
          <w:rFonts w:ascii="PT Astra Serif" w:eastAsia="Times New Roman" w:hAnsi="PT Astra Serif"/>
          <w:b/>
          <w:sz w:val="26"/>
          <w:szCs w:val="26"/>
        </w:rPr>
        <w:t xml:space="preserve">показателя по </w:t>
      </w:r>
      <w:r w:rsidR="00C93A84" w:rsidRPr="005F5BD2">
        <w:rPr>
          <w:rFonts w:ascii="PT Astra Serif" w:eastAsia="Times New Roman" w:hAnsi="PT Astra Serif"/>
          <w:b/>
          <w:sz w:val="26"/>
          <w:szCs w:val="26"/>
        </w:rPr>
        <w:t xml:space="preserve">обеспечению долговременным  уходом  граждан пожилого возраста и инвалидов </w:t>
      </w:r>
    </w:p>
    <w:p w:rsidR="008844CC" w:rsidRP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Показатель на 2020 год составляет не менее 150 лиц старше трудоспособного возраста, признанных нуждающимися в социальном обслуживании.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 xml:space="preserve">По состоянию на 01.07.2020 г.  данной мерой  социальной  поддержки </w:t>
      </w:r>
      <w:r w:rsidRPr="00FF386C">
        <w:rPr>
          <w:rFonts w:ascii="PT Astra Serif" w:eastAsia="Tahoma" w:hAnsi="PT Astra Serif" w:cs="Lucida Sans"/>
          <w:b/>
          <w:kern w:val="2"/>
          <w:sz w:val="26"/>
          <w:szCs w:val="26"/>
          <w:lang w:eastAsia="hi-IN" w:bidi="hi-IN"/>
        </w:rPr>
        <w:t>охвачено 175 чел.</w:t>
      </w:r>
      <w:r w:rsidRPr="00FF386C"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  <w:t>, что  составляет 125 % от запланированного количества человек, подлежащих уходу.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С целью выявления граждан пожилого возраста и инвалидов, нуждающихся в сбалансированном социальном обслуживании и медицинской помощи на дому, в полустационарной и стационарной форме с привлечением патронажной службы, а также по поддержке семейного ухода,   организуются выезды мобильных бригад. При посещении </w:t>
      </w: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lastRenderedPageBreak/>
        <w:t>граждан на дому предлагаются социальные услуги, необходимые гражданину,   составляется акт обследования жилищно-бытовых условий проживания, акт оценки степени утраты способности к самообслуживанию.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В настоящее время надомное социальное обслуживание на территории МО «Тереньгульский район» предоставляется Тереньгульским  отделением социальной помощи на дому ОГБУСО ЦСО «Парус  надежды» в </w:t>
      </w:r>
      <w:proofErr w:type="spellStart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р.п</w:t>
      </w:r>
      <w:proofErr w:type="spellEnd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. Кузоватово. Услуги на дому оказывают 28 </w:t>
      </w:r>
      <w:proofErr w:type="gramStart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штатных</w:t>
      </w:r>
      <w:proofErr w:type="gramEnd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 социальных работника отделения.</w:t>
      </w:r>
      <w:r w:rsidR="00FF386C">
        <w:rPr>
          <w:rFonts w:ascii="PT Astra Serif" w:eastAsia="Arial Unicode MS" w:hAnsi="PT Astra Serif"/>
          <w:sz w:val="26"/>
          <w:szCs w:val="26"/>
          <w:lang w:eastAsia="en-US"/>
        </w:rPr>
        <w:t xml:space="preserve"> </w:t>
      </w:r>
      <w:r w:rsidR="00356898" w:rsidRPr="005F5BD2">
        <w:rPr>
          <w:rFonts w:ascii="PT Astra Serif" w:eastAsia="Arial Unicode MS" w:hAnsi="PT Astra Serif"/>
          <w:sz w:val="26"/>
          <w:szCs w:val="26"/>
          <w:lang w:eastAsia="en-US"/>
        </w:rPr>
        <w:t>С</w:t>
      </w: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оциальные услуги на дому за полную плату получают 5 чел., 110 чел. - за частичную оплату, бесплатно – 60 чел. В том числе из 175 пенсионеров и инвалидов: 1 – УВОВ (инв. II гр.), 2 вдовы умерших ветеранов ВОВ (1- ИВОВ, 1- УВОВ), 9 тружеников тыла.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За 6 месяцев 2020 года выявлено 17 человек, нуждающихся в сбалансированном социальном обслуживании и медицинской помощи на дому, в полустационарной и стационарной форме с привлечением патронажной службы, а так же по поддержке семейного ухода, в том числе: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proofErr w:type="gramStart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- нуждающихся в социальном обслуживании на дому первично 13 граждан пожилого  возраста, из них: 11 человек взяты на обслуживание, 2 человека находятся в очереди;</w:t>
      </w:r>
      <w:proofErr w:type="gramEnd"/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- нуждающихся в социальном обслуживании на дому пересмотр 3 граждан пожилого  возраста;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- </w:t>
      </w:r>
      <w:proofErr w:type="gramStart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нуждающихся</w:t>
      </w:r>
      <w:proofErr w:type="gramEnd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 в стационарном обслуживании - 1 одиноко проживающий пенсионер. 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Долговременным уходом,  включающим сбалансированное социальное обслуживание на дому, охвачено 49 граждан пожилого возраста и инвалидов. Данный вид ухода включает в себя предоставление социальных услуг на дому согласно потребностей гражданина, в том числе: социально-бытовые (уборка помещений, предоставление гигиенических услуг лицам, не способным по состоянию здоровья самостоятельно осуществлять за собой уход, помощь в приеме пищи, лекарств, сопровождение вне дома, в том числе к врачу и </w:t>
      </w:r>
      <w:proofErr w:type="spellStart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т</w:t>
      </w:r>
      <w:proofErr w:type="gramStart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.д</w:t>
      </w:r>
      <w:proofErr w:type="spellEnd"/>
      <w:proofErr w:type="gramEnd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), социально-медицинские (систематическое наблюдение за получателями социальных услуг в целях отклонений в состоянии их здоровья).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Организация медицинской помощи на дому, в полустационарной и стационарной форме включает в себя выполнение процедур, связанных с организацией ухода, наблюдением за состоянием здоровья социальных услуг (измерение температуры, артериального давления, </w:t>
      </w:r>
      <w:proofErr w:type="gramStart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контроль  за</w:t>
      </w:r>
      <w:proofErr w:type="gramEnd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 приемом лекарственных препаратов). Данные услуги на сегодняшний день получили 17 человек.</w:t>
      </w:r>
    </w:p>
    <w:p w:rsid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proofErr w:type="gramStart"/>
      <w:r w:rsidRPr="005F5BD2">
        <w:rPr>
          <w:rFonts w:ascii="PT Astra Serif" w:eastAsia="Arial Unicode MS" w:hAnsi="PT Astra Serif"/>
          <w:b/>
          <w:sz w:val="26"/>
          <w:szCs w:val="26"/>
          <w:lang w:eastAsia="en-US"/>
        </w:rPr>
        <w:t xml:space="preserve">Работа мобильных бригад на территории муниципального образования Ульяновской области для доставки лиц, старше 65 лет, проживающих в сельской местности </w:t>
      </w:r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>в медицинские организации, организована в соответствии с положением о службе «Мобильная бригада»,  утвержденным Приказом Министерства здравоохранения и Министерства семейной, демографической политики и социального благополучия Ульяновской области об утверждении  Порядка доставки лиц старше 65 лет, проживающих в сельской местности, подлежащих доставке в</w:t>
      </w:r>
      <w:proofErr w:type="gramEnd"/>
      <w:r w:rsidRPr="005F5BD2">
        <w:rPr>
          <w:rFonts w:ascii="PT Astra Serif" w:eastAsia="Arial Unicode MS" w:hAnsi="PT Astra Serif"/>
          <w:sz w:val="26"/>
          <w:szCs w:val="26"/>
          <w:lang w:eastAsia="en-US"/>
        </w:rPr>
        <w:t xml:space="preserve"> государственные учреждения здравоохранения Ульяновской области от 22.10.2019г. </w:t>
      </w:r>
    </w:p>
    <w:p w:rsidR="008844CC" w:rsidRPr="00FF386C" w:rsidRDefault="008844CC" w:rsidP="00FF386C">
      <w:pPr>
        <w:widowControl w:val="0"/>
        <w:suppressAutoHyphens/>
        <w:autoSpaceDE w:val="0"/>
        <w:ind w:left="-709" w:firstLine="709"/>
        <w:rPr>
          <w:rFonts w:ascii="PT Astra Serif" w:eastAsia="Tahoma" w:hAnsi="PT Astra Serif" w:cs="Lucida Sans"/>
          <w:kern w:val="2"/>
          <w:sz w:val="26"/>
          <w:szCs w:val="26"/>
          <w:lang w:eastAsia="hi-IN" w:bidi="hi-IN"/>
        </w:rPr>
      </w:pPr>
      <w:r w:rsidRPr="005F5BD2">
        <w:rPr>
          <w:rFonts w:ascii="PT Astra Serif" w:eastAsia="Tahoma" w:hAnsi="PT Astra Serif"/>
          <w:sz w:val="26"/>
          <w:szCs w:val="26"/>
          <w:lang w:eastAsia="en-US" w:bidi="ru-RU"/>
        </w:rPr>
        <w:t xml:space="preserve">В период с 01.01.2020 г.  по  01.07.2020 г. </w:t>
      </w:r>
      <w:r w:rsidR="00AF4492" w:rsidRPr="005F5BD2">
        <w:rPr>
          <w:rFonts w:ascii="PT Astra Serif" w:eastAsia="Tahoma" w:hAnsi="PT Astra Serif"/>
          <w:sz w:val="26"/>
          <w:szCs w:val="26"/>
          <w:lang w:eastAsia="en-US"/>
        </w:rPr>
        <w:t xml:space="preserve">проведено  69 выездов мобильной службы социального обслуживания населения, в ходе которых </w:t>
      </w:r>
      <w:r w:rsidRPr="005F5BD2">
        <w:rPr>
          <w:rFonts w:ascii="PT Astra Serif" w:eastAsia="Tahoma" w:hAnsi="PT Astra Serif"/>
          <w:sz w:val="26"/>
          <w:szCs w:val="26"/>
          <w:lang w:eastAsia="en-US" w:bidi="ru-RU"/>
        </w:rPr>
        <w:t xml:space="preserve">проведено обследование </w:t>
      </w:r>
      <w:r w:rsidRPr="005F5BD2">
        <w:rPr>
          <w:rFonts w:ascii="PT Astra Serif" w:eastAsia="Tahoma" w:hAnsi="PT Astra Serif"/>
          <w:b/>
          <w:sz w:val="26"/>
          <w:szCs w:val="26"/>
          <w:lang w:eastAsia="en-US" w:bidi="ru-RU"/>
        </w:rPr>
        <w:t xml:space="preserve">761 </w:t>
      </w:r>
      <w:r w:rsidRPr="005F5BD2">
        <w:rPr>
          <w:rFonts w:ascii="PT Astra Serif" w:eastAsia="Tahoma" w:hAnsi="PT Astra Serif"/>
          <w:sz w:val="26"/>
          <w:szCs w:val="26"/>
          <w:lang w:eastAsia="en-US" w:bidi="ru-RU"/>
        </w:rPr>
        <w:t xml:space="preserve">гражданина старше 65 лет, что составляет </w:t>
      </w:r>
      <w:r w:rsidRPr="005F5BD2">
        <w:rPr>
          <w:rFonts w:ascii="PT Astra Serif" w:eastAsia="Tahoma" w:hAnsi="PT Astra Serif"/>
          <w:b/>
          <w:sz w:val="26"/>
          <w:szCs w:val="26"/>
          <w:lang w:eastAsia="en-US" w:bidi="ru-RU"/>
        </w:rPr>
        <w:t>42%</w:t>
      </w:r>
      <w:r w:rsidRPr="005F5BD2">
        <w:rPr>
          <w:rFonts w:ascii="PT Astra Serif" w:eastAsia="Tahoma" w:hAnsi="PT Astra Serif"/>
          <w:sz w:val="26"/>
          <w:szCs w:val="26"/>
          <w:lang w:eastAsia="en-US" w:bidi="ru-RU"/>
        </w:rPr>
        <w:t xml:space="preserve"> от запланированного количества граждан, подлежащих обследованию</w:t>
      </w:r>
      <w:r w:rsidR="0007295C" w:rsidRPr="005F5BD2">
        <w:rPr>
          <w:rFonts w:ascii="PT Astra Serif" w:eastAsia="Tahoma" w:hAnsi="PT Astra Serif"/>
          <w:sz w:val="26"/>
          <w:szCs w:val="26"/>
          <w:lang w:eastAsia="en-US" w:bidi="ru-RU"/>
        </w:rPr>
        <w:t xml:space="preserve"> (</w:t>
      </w:r>
      <w:r w:rsidR="00AF4492" w:rsidRPr="005F5BD2">
        <w:rPr>
          <w:rFonts w:ascii="PT Astra Serif" w:eastAsia="Tahoma" w:hAnsi="PT Astra Serif"/>
          <w:b/>
          <w:sz w:val="26"/>
          <w:szCs w:val="26"/>
          <w:lang w:eastAsia="en-US" w:bidi="ru-RU"/>
        </w:rPr>
        <w:t>1793)</w:t>
      </w:r>
      <w:r w:rsidRPr="005F5BD2">
        <w:rPr>
          <w:rFonts w:ascii="PT Astra Serif" w:eastAsia="Tahoma" w:hAnsi="PT Astra Serif"/>
          <w:sz w:val="26"/>
          <w:szCs w:val="26"/>
          <w:lang w:eastAsia="en-US" w:bidi="ru-RU"/>
        </w:rPr>
        <w:t xml:space="preserve">. </w:t>
      </w:r>
      <w:r w:rsidR="00AF4492" w:rsidRPr="005F5BD2">
        <w:rPr>
          <w:rFonts w:ascii="PT Astra Serif" w:eastAsia="Tahoma" w:hAnsi="PT Astra Serif"/>
          <w:sz w:val="26"/>
          <w:szCs w:val="26"/>
          <w:lang w:eastAsia="en-US" w:bidi="ru-RU"/>
        </w:rPr>
        <w:t>В</w:t>
      </w:r>
      <w:r w:rsidRPr="005F5BD2">
        <w:rPr>
          <w:rFonts w:ascii="PT Astra Serif" w:eastAsia="Tahoma" w:hAnsi="PT Astra Serif"/>
          <w:sz w:val="26"/>
          <w:szCs w:val="26"/>
          <w:lang w:eastAsia="en-US" w:bidi="ru-RU"/>
        </w:rPr>
        <w:t xml:space="preserve">ыявлено нуждающихся в доставке до ГУЗ «Тереньгульская РБ»  105 человек, все 105 чел. доставлены на обследование. </w:t>
      </w:r>
    </w:p>
    <w:p w:rsidR="008844CC" w:rsidRDefault="008844CC" w:rsidP="008844CC">
      <w:pPr>
        <w:ind w:right="113" w:firstLine="708"/>
        <w:rPr>
          <w:rFonts w:ascii="PT Astra Serif" w:eastAsia="Tahoma" w:hAnsi="PT Astra Serif"/>
          <w:sz w:val="26"/>
          <w:szCs w:val="26"/>
          <w:lang w:eastAsia="en-US" w:bidi="ru-RU"/>
        </w:rPr>
      </w:pPr>
    </w:p>
    <w:p w:rsidR="00CF6C49" w:rsidRDefault="00CF6C49" w:rsidP="008844CC">
      <w:pPr>
        <w:ind w:right="113" w:firstLine="708"/>
        <w:rPr>
          <w:rFonts w:ascii="PT Astra Serif" w:eastAsia="Tahoma" w:hAnsi="PT Astra Serif"/>
          <w:sz w:val="26"/>
          <w:szCs w:val="26"/>
          <w:lang w:eastAsia="en-US" w:bidi="ru-RU"/>
        </w:rPr>
      </w:pPr>
      <w:bookmarkStart w:id="0" w:name="_GoBack"/>
      <w:bookmarkEnd w:id="0"/>
    </w:p>
    <w:sectPr w:rsidR="00CF6C49" w:rsidSect="006A79D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126D"/>
    <w:multiLevelType w:val="hybridMultilevel"/>
    <w:tmpl w:val="FC5C1220"/>
    <w:lvl w:ilvl="0" w:tplc="C51C5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16DCE"/>
    <w:multiLevelType w:val="hybridMultilevel"/>
    <w:tmpl w:val="8AA8E6CA"/>
    <w:lvl w:ilvl="0" w:tplc="78A27A04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C0478C"/>
    <w:multiLevelType w:val="hybridMultilevel"/>
    <w:tmpl w:val="B4C6A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0419B"/>
    <w:multiLevelType w:val="hybridMultilevel"/>
    <w:tmpl w:val="D42E78AC"/>
    <w:lvl w:ilvl="0" w:tplc="0419000F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64A0210D"/>
    <w:multiLevelType w:val="hybridMultilevel"/>
    <w:tmpl w:val="4C7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29"/>
    <w:rsid w:val="00015729"/>
    <w:rsid w:val="0001763E"/>
    <w:rsid w:val="0002416C"/>
    <w:rsid w:val="00055DAC"/>
    <w:rsid w:val="00060292"/>
    <w:rsid w:val="000619BB"/>
    <w:rsid w:val="00063487"/>
    <w:rsid w:val="0007295C"/>
    <w:rsid w:val="00074546"/>
    <w:rsid w:val="00077DD9"/>
    <w:rsid w:val="00085B3A"/>
    <w:rsid w:val="000930F6"/>
    <w:rsid w:val="000A2BE0"/>
    <w:rsid w:val="000B16BD"/>
    <w:rsid w:val="000D1A23"/>
    <w:rsid w:val="000D728D"/>
    <w:rsid w:val="000D77EF"/>
    <w:rsid w:val="000E1052"/>
    <w:rsid w:val="00103AE0"/>
    <w:rsid w:val="00105093"/>
    <w:rsid w:val="00132794"/>
    <w:rsid w:val="00136E0A"/>
    <w:rsid w:val="00144086"/>
    <w:rsid w:val="00160586"/>
    <w:rsid w:val="00161F50"/>
    <w:rsid w:val="00164DA2"/>
    <w:rsid w:val="00165CA5"/>
    <w:rsid w:val="00170FF2"/>
    <w:rsid w:val="00192290"/>
    <w:rsid w:val="00192FC0"/>
    <w:rsid w:val="001B138C"/>
    <w:rsid w:val="001B3C2C"/>
    <w:rsid w:val="001C3186"/>
    <w:rsid w:val="001C7414"/>
    <w:rsid w:val="001E6344"/>
    <w:rsid w:val="001E7468"/>
    <w:rsid w:val="001F3492"/>
    <w:rsid w:val="001F5FB0"/>
    <w:rsid w:val="002171BF"/>
    <w:rsid w:val="00232861"/>
    <w:rsid w:val="00240B53"/>
    <w:rsid w:val="00246BFA"/>
    <w:rsid w:val="00250048"/>
    <w:rsid w:val="002500CB"/>
    <w:rsid w:val="00251DDC"/>
    <w:rsid w:val="00254872"/>
    <w:rsid w:val="002720F6"/>
    <w:rsid w:val="00277D47"/>
    <w:rsid w:val="002A14D6"/>
    <w:rsid w:val="002A7B8D"/>
    <w:rsid w:val="002C2702"/>
    <w:rsid w:val="00301718"/>
    <w:rsid w:val="003360BA"/>
    <w:rsid w:val="00356898"/>
    <w:rsid w:val="00364575"/>
    <w:rsid w:val="003A046A"/>
    <w:rsid w:val="003A3C4C"/>
    <w:rsid w:val="003B5F90"/>
    <w:rsid w:val="003C6F4B"/>
    <w:rsid w:val="0040112B"/>
    <w:rsid w:val="004060C9"/>
    <w:rsid w:val="004108F7"/>
    <w:rsid w:val="00412685"/>
    <w:rsid w:val="00412CFC"/>
    <w:rsid w:val="00423E26"/>
    <w:rsid w:val="00431AB5"/>
    <w:rsid w:val="004460B2"/>
    <w:rsid w:val="0045292B"/>
    <w:rsid w:val="00473EA7"/>
    <w:rsid w:val="00474742"/>
    <w:rsid w:val="004A4060"/>
    <w:rsid w:val="004B0E4C"/>
    <w:rsid w:val="004B18F4"/>
    <w:rsid w:val="004B3089"/>
    <w:rsid w:val="004B6008"/>
    <w:rsid w:val="004C1E99"/>
    <w:rsid w:val="004C45C9"/>
    <w:rsid w:val="004F4540"/>
    <w:rsid w:val="004F7F23"/>
    <w:rsid w:val="00500F67"/>
    <w:rsid w:val="00522DCF"/>
    <w:rsid w:val="00546BF3"/>
    <w:rsid w:val="00550699"/>
    <w:rsid w:val="0055236F"/>
    <w:rsid w:val="005548ED"/>
    <w:rsid w:val="00557DE3"/>
    <w:rsid w:val="0056026C"/>
    <w:rsid w:val="00561F6E"/>
    <w:rsid w:val="00573266"/>
    <w:rsid w:val="00584B03"/>
    <w:rsid w:val="0058767B"/>
    <w:rsid w:val="005B45C4"/>
    <w:rsid w:val="005B4EDD"/>
    <w:rsid w:val="005C0B84"/>
    <w:rsid w:val="005C5EBB"/>
    <w:rsid w:val="005D04F3"/>
    <w:rsid w:val="005D0C7A"/>
    <w:rsid w:val="005D1300"/>
    <w:rsid w:val="005D15C3"/>
    <w:rsid w:val="005D2683"/>
    <w:rsid w:val="005E5275"/>
    <w:rsid w:val="005F5BD2"/>
    <w:rsid w:val="00607C26"/>
    <w:rsid w:val="00610C9D"/>
    <w:rsid w:val="00635FEF"/>
    <w:rsid w:val="0063752E"/>
    <w:rsid w:val="00643D8C"/>
    <w:rsid w:val="00644A85"/>
    <w:rsid w:val="00653FC4"/>
    <w:rsid w:val="006549B5"/>
    <w:rsid w:val="00660AC7"/>
    <w:rsid w:val="00665F0D"/>
    <w:rsid w:val="00676BA2"/>
    <w:rsid w:val="00694415"/>
    <w:rsid w:val="006A52A4"/>
    <w:rsid w:val="006A79D5"/>
    <w:rsid w:val="006B71F6"/>
    <w:rsid w:val="006C3907"/>
    <w:rsid w:val="006C3FF1"/>
    <w:rsid w:val="006C7416"/>
    <w:rsid w:val="006D3F4A"/>
    <w:rsid w:val="006E2F11"/>
    <w:rsid w:val="006E6387"/>
    <w:rsid w:val="00700732"/>
    <w:rsid w:val="00711D90"/>
    <w:rsid w:val="00722D37"/>
    <w:rsid w:val="00732D41"/>
    <w:rsid w:val="007612D4"/>
    <w:rsid w:val="007737EE"/>
    <w:rsid w:val="007805C5"/>
    <w:rsid w:val="007A461F"/>
    <w:rsid w:val="007C2623"/>
    <w:rsid w:val="007C4928"/>
    <w:rsid w:val="007C7943"/>
    <w:rsid w:val="007D7280"/>
    <w:rsid w:val="007F3ED5"/>
    <w:rsid w:val="00801739"/>
    <w:rsid w:val="0081683A"/>
    <w:rsid w:val="00831BE8"/>
    <w:rsid w:val="00843F26"/>
    <w:rsid w:val="00867DA5"/>
    <w:rsid w:val="008729F6"/>
    <w:rsid w:val="008738CF"/>
    <w:rsid w:val="0087703B"/>
    <w:rsid w:val="0088424A"/>
    <w:rsid w:val="008844CC"/>
    <w:rsid w:val="00893A52"/>
    <w:rsid w:val="008B6F19"/>
    <w:rsid w:val="008C1872"/>
    <w:rsid w:val="008C6698"/>
    <w:rsid w:val="008D5D3F"/>
    <w:rsid w:val="008F440B"/>
    <w:rsid w:val="00904ABC"/>
    <w:rsid w:val="00906471"/>
    <w:rsid w:val="00920EBE"/>
    <w:rsid w:val="00964C86"/>
    <w:rsid w:val="009936B9"/>
    <w:rsid w:val="009A595A"/>
    <w:rsid w:val="009D6326"/>
    <w:rsid w:val="009E79D4"/>
    <w:rsid w:val="00A34F53"/>
    <w:rsid w:val="00A4711D"/>
    <w:rsid w:val="00A5087F"/>
    <w:rsid w:val="00A54BE4"/>
    <w:rsid w:val="00A569A9"/>
    <w:rsid w:val="00A628FB"/>
    <w:rsid w:val="00A82B62"/>
    <w:rsid w:val="00AB425F"/>
    <w:rsid w:val="00AB57D4"/>
    <w:rsid w:val="00AC026B"/>
    <w:rsid w:val="00AC564F"/>
    <w:rsid w:val="00AE2577"/>
    <w:rsid w:val="00AF2830"/>
    <w:rsid w:val="00AF4492"/>
    <w:rsid w:val="00AF66F2"/>
    <w:rsid w:val="00AF7F49"/>
    <w:rsid w:val="00B01412"/>
    <w:rsid w:val="00B025AD"/>
    <w:rsid w:val="00B23AE7"/>
    <w:rsid w:val="00B3380B"/>
    <w:rsid w:val="00B41ECB"/>
    <w:rsid w:val="00B42AA3"/>
    <w:rsid w:val="00B70765"/>
    <w:rsid w:val="00B756BC"/>
    <w:rsid w:val="00B86E77"/>
    <w:rsid w:val="00B93D53"/>
    <w:rsid w:val="00BB6EA9"/>
    <w:rsid w:val="00BC035A"/>
    <w:rsid w:val="00BC2B74"/>
    <w:rsid w:val="00BD5370"/>
    <w:rsid w:val="00BD6041"/>
    <w:rsid w:val="00BD7B35"/>
    <w:rsid w:val="00BE164D"/>
    <w:rsid w:val="00BE3E69"/>
    <w:rsid w:val="00BE6494"/>
    <w:rsid w:val="00BF27EC"/>
    <w:rsid w:val="00BF65BB"/>
    <w:rsid w:val="00C0588B"/>
    <w:rsid w:val="00C05D1D"/>
    <w:rsid w:val="00C63D8E"/>
    <w:rsid w:val="00C6509A"/>
    <w:rsid w:val="00C71D28"/>
    <w:rsid w:val="00C85956"/>
    <w:rsid w:val="00C86D60"/>
    <w:rsid w:val="00C93A84"/>
    <w:rsid w:val="00CA380E"/>
    <w:rsid w:val="00CC6FB1"/>
    <w:rsid w:val="00CD6BE8"/>
    <w:rsid w:val="00CE542C"/>
    <w:rsid w:val="00CF6C49"/>
    <w:rsid w:val="00D06334"/>
    <w:rsid w:val="00D06421"/>
    <w:rsid w:val="00D16B90"/>
    <w:rsid w:val="00D17EA8"/>
    <w:rsid w:val="00D33B86"/>
    <w:rsid w:val="00D42686"/>
    <w:rsid w:val="00D431BD"/>
    <w:rsid w:val="00D45640"/>
    <w:rsid w:val="00D46D35"/>
    <w:rsid w:val="00D53552"/>
    <w:rsid w:val="00D578DA"/>
    <w:rsid w:val="00D77F3D"/>
    <w:rsid w:val="00D840EC"/>
    <w:rsid w:val="00D8781D"/>
    <w:rsid w:val="00DB10F1"/>
    <w:rsid w:val="00DB1CF8"/>
    <w:rsid w:val="00DB35B9"/>
    <w:rsid w:val="00DE40B2"/>
    <w:rsid w:val="00DF5930"/>
    <w:rsid w:val="00DF6D8D"/>
    <w:rsid w:val="00E00F2D"/>
    <w:rsid w:val="00E11EF8"/>
    <w:rsid w:val="00E158A6"/>
    <w:rsid w:val="00E16EFB"/>
    <w:rsid w:val="00E20927"/>
    <w:rsid w:val="00E2281F"/>
    <w:rsid w:val="00E25DED"/>
    <w:rsid w:val="00E263BC"/>
    <w:rsid w:val="00E32511"/>
    <w:rsid w:val="00E3501E"/>
    <w:rsid w:val="00E604C1"/>
    <w:rsid w:val="00E7621E"/>
    <w:rsid w:val="00E86590"/>
    <w:rsid w:val="00E948BD"/>
    <w:rsid w:val="00E97C81"/>
    <w:rsid w:val="00EA394A"/>
    <w:rsid w:val="00EA5731"/>
    <w:rsid w:val="00EA6456"/>
    <w:rsid w:val="00EB514E"/>
    <w:rsid w:val="00EC4DD1"/>
    <w:rsid w:val="00EE67E3"/>
    <w:rsid w:val="00EE7ACA"/>
    <w:rsid w:val="00EF2312"/>
    <w:rsid w:val="00F1217E"/>
    <w:rsid w:val="00F32F2F"/>
    <w:rsid w:val="00F362C6"/>
    <w:rsid w:val="00F4103C"/>
    <w:rsid w:val="00F43D28"/>
    <w:rsid w:val="00F56068"/>
    <w:rsid w:val="00F674B9"/>
    <w:rsid w:val="00F76668"/>
    <w:rsid w:val="00F76B85"/>
    <w:rsid w:val="00F76D5D"/>
    <w:rsid w:val="00FC16AC"/>
    <w:rsid w:val="00FC69CB"/>
    <w:rsid w:val="00FE0E14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C"/>
    <w:pPr>
      <w:jc w:val="both"/>
    </w:pPr>
  </w:style>
  <w:style w:type="paragraph" w:styleId="1">
    <w:name w:val="heading 1"/>
    <w:basedOn w:val="a"/>
    <w:next w:val="a"/>
    <w:link w:val="10"/>
    <w:qFormat/>
    <w:rsid w:val="00B756BC"/>
    <w:pPr>
      <w:keepNext/>
      <w:widowControl w:val="0"/>
      <w:tabs>
        <w:tab w:val="num" w:pos="360"/>
      </w:tabs>
      <w:suppressAutoHyphens/>
      <w:outlineLvl w:val="0"/>
    </w:pPr>
    <w:rPr>
      <w:rFonts w:ascii="Arial" w:eastAsia="Tahoma" w:hAnsi="Arial" w:cs="Arial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756BC"/>
    <w:pPr>
      <w:keepNext/>
      <w:widowControl w:val="0"/>
      <w:tabs>
        <w:tab w:val="num" w:pos="360"/>
      </w:tabs>
      <w:suppressAutoHyphens/>
      <w:outlineLvl w:val="1"/>
    </w:pPr>
    <w:rPr>
      <w:rFonts w:ascii="Arial" w:eastAsia="Tahoma" w:hAnsi="Arial" w:cs="Arial"/>
      <w:b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756BC"/>
    <w:rPr>
      <w:rFonts w:ascii="Arial" w:eastAsia="Tahoma" w:hAnsi="Arial" w:cs="Arial"/>
      <w:kern w:val="2"/>
      <w:szCs w:val="24"/>
      <w:lang w:eastAsia="ar-SA"/>
    </w:rPr>
  </w:style>
  <w:style w:type="character" w:customStyle="1" w:styleId="20">
    <w:name w:val="Заголовок 2 Знак"/>
    <w:link w:val="2"/>
    <w:semiHidden/>
    <w:rsid w:val="00B756BC"/>
    <w:rPr>
      <w:rFonts w:ascii="Arial" w:eastAsia="Tahoma" w:hAnsi="Arial" w:cs="Arial"/>
      <w:b/>
      <w:kern w:val="2"/>
      <w:szCs w:val="24"/>
      <w:lang w:eastAsia="ar-SA"/>
    </w:rPr>
  </w:style>
  <w:style w:type="character" w:styleId="a4">
    <w:name w:val="Hyperlink"/>
    <w:semiHidden/>
    <w:unhideWhenUsed/>
    <w:rsid w:val="00B756BC"/>
    <w:rPr>
      <w:color w:val="000080"/>
      <w:u w:val="single"/>
    </w:rPr>
  </w:style>
  <w:style w:type="paragraph" w:styleId="a5">
    <w:name w:val="footer"/>
    <w:basedOn w:val="a"/>
    <w:link w:val="a6"/>
    <w:unhideWhenUsed/>
    <w:rsid w:val="00B756BC"/>
    <w:pPr>
      <w:widowControl w:val="0"/>
      <w:tabs>
        <w:tab w:val="center" w:pos="4153"/>
        <w:tab w:val="right" w:pos="8306"/>
      </w:tabs>
      <w:suppressAutoHyphens/>
    </w:pPr>
    <w:rPr>
      <w:rFonts w:ascii="Arial" w:eastAsia="Tahoma" w:hAnsi="Arial" w:cs="Arial"/>
      <w:kern w:val="2"/>
      <w:sz w:val="24"/>
      <w:szCs w:val="24"/>
      <w:lang w:eastAsia="ar-SA"/>
    </w:rPr>
  </w:style>
  <w:style w:type="character" w:customStyle="1" w:styleId="a6">
    <w:name w:val="Нижний колонтитул Знак"/>
    <w:link w:val="a5"/>
    <w:rsid w:val="00B756BC"/>
    <w:rPr>
      <w:rFonts w:ascii="Arial" w:eastAsia="Tahoma" w:hAnsi="Arial" w:cs="Arial"/>
      <w:kern w:val="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7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F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22D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51DDC"/>
    <w:rPr>
      <w:rFonts w:ascii="PT Astra Serif" w:eastAsiaTheme="minorHAnsi" w:hAnsi="PT Astra Serif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C"/>
    <w:pPr>
      <w:jc w:val="both"/>
    </w:pPr>
  </w:style>
  <w:style w:type="paragraph" w:styleId="1">
    <w:name w:val="heading 1"/>
    <w:basedOn w:val="a"/>
    <w:next w:val="a"/>
    <w:link w:val="10"/>
    <w:qFormat/>
    <w:rsid w:val="00B756BC"/>
    <w:pPr>
      <w:keepNext/>
      <w:widowControl w:val="0"/>
      <w:tabs>
        <w:tab w:val="num" w:pos="360"/>
      </w:tabs>
      <w:suppressAutoHyphens/>
      <w:outlineLvl w:val="0"/>
    </w:pPr>
    <w:rPr>
      <w:rFonts w:ascii="Arial" w:eastAsia="Tahoma" w:hAnsi="Arial" w:cs="Arial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756BC"/>
    <w:pPr>
      <w:keepNext/>
      <w:widowControl w:val="0"/>
      <w:tabs>
        <w:tab w:val="num" w:pos="360"/>
      </w:tabs>
      <w:suppressAutoHyphens/>
      <w:outlineLvl w:val="1"/>
    </w:pPr>
    <w:rPr>
      <w:rFonts w:ascii="Arial" w:eastAsia="Tahoma" w:hAnsi="Arial" w:cs="Arial"/>
      <w:b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756BC"/>
    <w:rPr>
      <w:rFonts w:ascii="Arial" w:eastAsia="Tahoma" w:hAnsi="Arial" w:cs="Arial"/>
      <w:kern w:val="2"/>
      <w:szCs w:val="24"/>
      <w:lang w:eastAsia="ar-SA"/>
    </w:rPr>
  </w:style>
  <w:style w:type="character" w:customStyle="1" w:styleId="20">
    <w:name w:val="Заголовок 2 Знак"/>
    <w:link w:val="2"/>
    <w:semiHidden/>
    <w:rsid w:val="00B756BC"/>
    <w:rPr>
      <w:rFonts w:ascii="Arial" w:eastAsia="Tahoma" w:hAnsi="Arial" w:cs="Arial"/>
      <w:b/>
      <w:kern w:val="2"/>
      <w:szCs w:val="24"/>
      <w:lang w:eastAsia="ar-SA"/>
    </w:rPr>
  </w:style>
  <w:style w:type="character" w:styleId="a4">
    <w:name w:val="Hyperlink"/>
    <w:semiHidden/>
    <w:unhideWhenUsed/>
    <w:rsid w:val="00B756BC"/>
    <w:rPr>
      <w:color w:val="000080"/>
      <w:u w:val="single"/>
    </w:rPr>
  </w:style>
  <w:style w:type="paragraph" w:styleId="a5">
    <w:name w:val="footer"/>
    <w:basedOn w:val="a"/>
    <w:link w:val="a6"/>
    <w:unhideWhenUsed/>
    <w:rsid w:val="00B756BC"/>
    <w:pPr>
      <w:widowControl w:val="0"/>
      <w:tabs>
        <w:tab w:val="center" w:pos="4153"/>
        <w:tab w:val="right" w:pos="8306"/>
      </w:tabs>
      <w:suppressAutoHyphens/>
    </w:pPr>
    <w:rPr>
      <w:rFonts w:ascii="Arial" w:eastAsia="Tahoma" w:hAnsi="Arial" w:cs="Arial"/>
      <w:kern w:val="2"/>
      <w:sz w:val="24"/>
      <w:szCs w:val="24"/>
      <w:lang w:eastAsia="ar-SA"/>
    </w:rPr>
  </w:style>
  <w:style w:type="character" w:customStyle="1" w:styleId="a6">
    <w:name w:val="Нижний колонтитул Знак"/>
    <w:link w:val="a5"/>
    <w:rsid w:val="00B756BC"/>
    <w:rPr>
      <w:rFonts w:ascii="Arial" w:eastAsia="Tahoma" w:hAnsi="Arial" w:cs="Arial"/>
      <w:kern w:val="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7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F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22D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51DDC"/>
    <w:rPr>
      <w:rFonts w:ascii="PT Astra Serif" w:eastAsiaTheme="minorHAnsi" w:hAnsi="PT Astra Serif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PIROVAMA\Desktop\&#1064;&#1058;&#104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C6AB7D3-D33E-45E3-88EC-89481A20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76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mailto:tersoc@mail.ru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SHAPIROVAMA</dc:creator>
  <cp:lastModifiedBy>Евстифеева Елена Владимировна</cp:lastModifiedBy>
  <cp:revision>11</cp:revision>
  <cp:lastPrinted>2020-09-22T10:44:00Z</cp:lastPrinted>
  <dcterms:created xsi:type="dcterms:W3CDTF">2020-08-24T11:34:00Z</dcterms:created>
  <dcterms:modified xsi:type="dcterms:W3CDTF">2021-01-28T06:11:00Z</dcterms:modified>
</cp:coreProperties>
</file>